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6E" w:rsidRPr="00B31B5C" w:rsidRDefault="00CB016E" w:rsidP="00F46348">
      <w:pPr>
        <w:jc w:val="center"/>
        <w:rPr>
          <w:rFonts w:ascii="標楷體" w:eastAsia="標楷體" w:hAnsi="標楷體"/>
          <w:sz w:val="32"/>
          <w:szCs w:val="32"/>
        </w:rPr>
      </w:pPr>
      <w:r w:rsidRPr="00B31B5C">
        <w:rPr>
          <w:rFonts w:ascii="標楷體" w:eastAsia="標楷體" w:hAnsi="標楷體" w:hint="eastAsia"/>
          <w:sz w:val="32"/>
          <w:szCs w:val="32"/>
        </w:rPr>
        <w:t>臺北市</w:t>
      </w:r>
      <w:r w:rsidRPr="00B31B5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B31B5C" w:rsidRPr="00B31B5C">
        <w:rPr>
          <w:rFonts w:ascii="標楷體" w:eastAsia="標楷體" w:hAnsi="標楷體" w:hint="eastAsia"/>
          <w:sz w:val="32"/>
          <w:szCs w:val="32"/>
          <w:u w:val="single"/>
        </w:rPr>
        <w:t xml:space="preserve">  私立南華高中職業進修學校</w:t>
      </w:r>
      <w:r w:rsidR="00F46348" w:rsidRPr="00B31B5C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B31B5C">
        <w:rPr>
          <w:rFonts w:ascii="標楷體" w:eastAsia="標楷體" w:hAnsi="標楷體" w:hint="eastAsia"/>
          <w:sz w:val="32"/>
          <w:szCs w:val="32"/>
        </w:rPr>
        <w:t>辦理特殊教育宣導活動</w:t>
      </w:r>
      <w:r w:rsidR="00F46348" w:rsidRPr="00B31B5C">
        <w:rPr>
          <w:rFonts w:ascii="標楷體" w:eastAsia="標楷體" w:hAnsi="標楷體" w:hint="eastAsia"/>
          <w:sz w:val="32"/>
          <w:szCs w:val="32"/>
        </w:rPr>
        <w:t>成果一覽表</w:t>
      </w:r>
    </w:p>
    <w:p w:rsidR="00F46348" w:rsidRPr="00F46348" w:rsidRDefault="00F46348" w:rsidP="00F46348">
      <w:pPr>
        <w:jc w:val="center"/>
        <w:rPr>
          <w:rFonts w:ascii="標楷體" w:eastAsia="標楷體" w:hAnsi="標楷體"/>
          <w:sz w:val="22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531"/>
        <w:gridCol w:w="562"/>
        <w:gridCol w:w="2088"/>
        <w:gridCol w:w="1453"/>
        <w:gridCol w:w="570"/>
        <w:gridCol w:w="2158"/>
      </w:tblGrid>
      <w:tr w:rsidR="00CB016E" w:rsidTr="00F46348">
        <w:tc>
          <w:tcPr>
            <w:tcW w:w="1531" w:type="dxa"/>
          </w:tcPr>
          <w:p w:rsidR="00CB016E" w:rsidRPr="00CB016E" w:rsidRDefault="00F46348" w:rsidP="00CB01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6831" w:type="dxa"/>
            <w:gridSpan w:val="5"/>
          </w:tcPr>
          <w:p w:rsidR="00CB016E" w:rsidRPr="00CB016E" w:rsidRDefault="00B31B5C" w:rsidP="00CB016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31B5C">
              <w:rPr>
                <w:rFonts w:ascii="標楷體" w:eastAsia="標楷體" w:hAnsi="標楷體" w:hint="eastAsia"/>
                <w:sz w:val="28"/>
                <w:szCs w:val="28"/>
              </w:rPr>
              <w:t>導盲犬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宣導教育</w:t>
            </w:r>
          </w:p>
        </w:tc>
      </w:tr>
      <w:tr w:rsidR="00CB016E" w:rsidTr="00F46348">
        <w:tc>
          <w:tcPr>
            <w:tcW w:w="1531" w:type="dxa"/>
          </w:tcPr>
          <w:p w:rsidR="00CB016E" w:rsidRPr="00CB016E" w:rsidRDefault="00F4634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辦理日期</w:t>
            </w:r>
          </w:p>
        </w:tc>
        <w:tc>
          <w:tcPr>
            <w:tcW w:w="2650" w:type="dxa"/>
            <w:gridSpan w:val="2"/>
          </w:tcPr>
          <w:p w:rsidR="00CB016E" w:rsidRPr="00CB016E" w:rsidRDefault="00B31B5C" w:rsidP="00CB016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05/08/2012</w:t>
            </w:r>
          </w:p>
        </w:tc>
        <w:tc>
          <w:tcPr>
            <w:tcW w:w="1453" w:type="dxa"/>
          </w:tcPr>
          <w:p w:rsidR="00CB016E" w:rsidRPr="00CB016E" w:rsidRDefault="00F4634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2728" w:type="dxa"/>
            <w:gridSpan w:val="2"/>
          </w:tcPr>
          <w:p w:rsidR="00CB016E" w:rsidRPr="00CB016E" w:rsidRDefault="00B31B5C" w:rsidP="00CB016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404教室</w:t>
            </w:r>
          </w:p>
        </w:tc>
      </w:tr>
      <w:tr w:rsidR="00CB016E" w:rsidTr="00F46348">
        <w:tc>
          <w:tcPr>
            <w:tcW w:w="1531" w:type="dxa"/>
          </w:tcPr>
          <w:p w:rsidR="00CB016E" w:rsidRPr="00CB016E" w:rsidRDefault="00CB016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B016E">
              <w:rPr>
                <w:rFonts w:ascii="標楷體" w:eastAsia="標楷體" w:hAnsi="標楷體" w:hint="eastAsia"/>
                <w:sz w:val="28"/>
                <w:szCs w:val="28"/>
              </w:rPr>
              <w:t>參與對象</w:t>
            </w:r>
          </w:p>
        </w:tc>
        <w:tc>
          <w:tcPr>
            <w:tcW w:w="2650" w:type="dxa"/>
            <w:gridSpan w:val="2"/>
          </w:tcPr>
          <w:p w:rsidR="00CB016E" w:rsidRPr="00CB016E" w:rsidRDefault="00B31B5C" w:rsidP="00CB016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1453" w:type="dxa"/>
          </w:tcPr>
          <w:p w:rsidR="00CB016E" w:rsidRPr="00CB016E" w:rsidRDefault="00CB016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B016E">
              <w:rPr>
                <w:rFonts w:ascii="標楷體" w:eastAsia="標楷體" w:hAnsi="標楷體" w:hint="eastAsia"/>
                <w:sz w:val="28"/>
                <w:szCs w:val="28"/>
              </w:rPr>
              <w:t>參與人數</w:t>
            </w:r>
          </w:p>
        </w:tc>
        <w:tc>
          <w:tcPr>
            <w:tcW w:w="2728" w:type="dxa"/>
            <w:gridSpan w:val="2"/>
          </w:tcPr>
          <w:p w:rsidR="00CB016E" w:rsidRPr="00CB016E" w:rsidRDefault="00B31B5C" w:rsidP="00CB016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F46348" w:rsidTr="004B2CD5">
        <w:tc>
          <w:tcPr>
            <w:tcW w:w="8362" w:type="dxa"/>
            <w:gridSpan w:val="6"/>
          </w:tcPr>
          <w:p w:rsidR="00B31B5C" w:rsidRDefault="00F46348" w:rsidP="00B31B5C">
            <w:pPr>
              <w:rPr>
                <w:rFonts w:ascii="標楷體" w:eastAsia="標楷體" w:hAnsi="標楷體" w:hint="eastAsia"/>
                <w:b/>
                <w:szCs w:val="24"/>
              </w:rPr>
            </w:pPr>
            <w:r w:rsidRPr="00F46348">
              <w:rPr>
                <w:rFonts w:ascii="標楷體" w:eastAsia="標楷體" w:hAnsi="標楷體" w:hint="eastAsia"/>
                <w:sz w:val="28"/>
                <w:szCs w:val="28"/>
              </w:rPr>
              <w:t>活動簡述</w:t>
            </w:r>
            <w:r w:rsidR="00E0580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05806" w:rsidRPr="00E05806">
              <w:rPr>
                <w:rFonts w:ascii="標楷體" w:eastAsia="標楷體" w:hAnsi="標楷體" w:hint="eastAsia"/>
                <w:b/>
                <w:szCs w:val="24"/>
              </w:rPr>
              <w:t>(請以</w:t>
            </w:r>
            <w:r w:rsidR="00E05806" w:rsidRPr="00E05806">
              <w:rPr>
                <w:rFonts w:ascii="標楷體" w:eastAsia="標楷體" w:hAnsi="標楷體" w:hint="eastAsia"/>
                <w:b/>
                <w:szCs w:val="24"/>
                <w:u w:val="single"/>
              </w:rPr>
              <w:t>14號標楷體</w:t>
            </w:r>
            <w:r w:rsidR="00E05806" w:rsidRPr="00E05806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="00E05806" w:rsidRPr="00E05806">
              <w:rPr>
                <w:rFonts w:ascii="標楷體" w:eastAsia="標楷體" w:hAnsi="標楷體" w:hint="eastAsia"/>
                <w:b/>
                <w:szCs w:val="24"/>
                <w:u w:val="single"/>
              </w:rPr>
              <w:t>行距22PT</w:t>
            </w:r>
            <w:r w:rsidR="00E05806" w:rsidRPr="00E05806">
              <w:rPr>
                <w:rFonts w:ascii="標楷體" w:eastAsia="標楷體" w:hAnsi="標楷體" w:hint="eastAsia"/>
                <w:b/>
                <w:szCs w:val="24"/>
              </w:rPr>
              <w:t>敍寫，內容約</w:t>
            </w:r>
            <w:r w:rsidR="00E05806" w:rsidRPr="00E05806">
              <w:rPr>
                <w:rFonts w:ascii="標楷體" w:eastAsia="標楷體" w:hAnsi="標楷體" w:hint="eastAsia"/>
                <w:b/>
                <w:szCs w:val="24"/>
                <w:u w:val="single"/>
              </w:rPr>
              <w:t>500字</w:t>
            </w:r>
            <w:r w:rsidR="00E05806" w:rsidRPr="00E05806">
              <w:rPr>
                <w:rFonts w:ascii="標楷體" w:eastAsia="標楷體" w:hAnsi="標楷體" w:hint="eastAsia"/>
                <w:b/>
                <w:szCs w:val="24"/>
              </w:rPr>
              <w:t>。)</w:t>
            </w:r>
          </w:p>
          <w:p w:rsidR="00B31B5C" w:rsidRPr="00B31B5C" w:rsidRDefault="00B31B5C" w:rsidP="00B31B5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使用</w:t>
            </w:r>
            <w:r w:rsidRPr="00B31B5C">
              <w:rPr>
                <w:rFonts w:ascii="標楷體" w:eastAsia="標楷體" w:hAnsi="標楷體" w:hint="eastAsia"/>
                <w:sz w:val="28"/>
                <w:szCs w:val="28"/>
              </w:rPr>
              <w:t>輔導課時間，舉辦導盲犬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B31B5C">
              <w:rPr>
                <w:rFonts w:ascii="標楷體" w:eastAsia="標楷體" w:hAnsi="標楷體" w:hint="eastAsia"/>
                <w:sz w:val="28"/>
                <w:szCs w:val="28"/>
              </w:rPr>
              <w:t>宣導活動。老師使用PPT做簡報，說明導盲犬的歷史、篩選、訓練過程</w:t>
            </w:r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等相關知識</w:t>
            </w:r>
            <w:r w:rsidRPr="00B31B5C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B31B5C">
              <w:rPr>
                <w:rFonts w:ascii="標楷體" w:eastAsia="標楷體" w:hAnsi="標楷體" w:hint="eastAsia"/>
                <w:sz w:val="28"/>
                <w:szCs w:val="28"/>
              </w:rPr>
              <w:t>並看</w:t>
            </w:r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導盲</w:t>
            </w:r>
            <w:proofErr w:type="gramEnd"/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犬</w:t>
            </w:r>
            <w:r w:rsidRPr="00B31B5C">
              <w:rPr>
                <w:rFonts w:ascii="標楷體" w:eastAsia="標楷體" w:hAnsi="標楷體" w:hint="eastAsia"/>
                <w:sz w:val="28"/>
                <w:szCs w:val="28"/>
              </w:rPr>
              <w:t>宣導</w:t>
            </w:r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Pr="00B31B5C">
              <w:rPr>
                <w:rFonts w:ascii="標楷體" w:eastAsia="標楷體" w:hAnsi="標楷體" w:hint="eastAsia"/>
                <w:sz w:val="28"/>
                <w:szCs w:val="28"/>
              </w:rPr>
              <w:t>影片深度讓學生了解導盲犬是如何與視障人士配合，和其中會遭遇到的困難與挫折。</w:t>
            </w:r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影片內容生動活潑，也講述很多相關的知識與概念，與</w:t>
            </w:r>
            <w:proofErr w:type="spellStart"/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ppt</w:t>
            </w:r>
            <w:proofErr w:type="spellEnd"/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的內容相互呼應。影片結束後，老師</w:t>
            </w:r>
            <w:r w:rsidRPr="00B31B5C">
              <w:rPr>
                <w:rFonts w:ascii="標楷體" w:eastAsia="標楷體" w:hAnsi="標楷體" w:hint="eastAsia"/>
                <w:sz w:val="28"/>
                <w:szCs w:val="28"/>
              </w:rPr>
              <w:t>帶領學生做</w:t>
            </w:r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相關的問題</w:t>
            </w:r>
            <w:r w:rsidRPr="00B31B5C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，並請同學發表感言，藉此了解學生的學習狀況。</w:t>
            </w:r>
          </w:p>
          <w:p w:rsidR="00B31B5C" w:rsidRPr="00B31B5C" w:rsidRDefault="00B31B5C" w:rsidP="00B31B5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B31B5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B31B5C">
              <w:rPr>
                <w:rFonts w:ascii="標楷體" w:eastAsia="標楷體" w:hAnsi="標楷體" w:hint="eastAsia"/>
                <w:sz w:val="28"/>
                <w:szCs w:val="28"/>
              </w:rPr>
              <w:t>．</w:t>
            </w:r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導盲犬宣導之課堂</w:t>
            </w:r>
            <w:r w:rsidRPr="00B31B5C">
              <w:rPr>
                <w:rFonts w:ascii="標楷體" w:eastAsia="標楷體" w:hAnsi="標楷體" w:hint="eastAsia"/>
                <w:sz w:val="28"/>
                <w:szCs w:val="28"/>
              </w:rPr>
              <w:t xml:space="preserve">收穫：　</w:t>
            </w:r>
          </w:p>
          <w:p w:rsidR="007412FA" w:rsidRDefault="00B31B5C" w:rsidP="00B31B5C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12FA">
              <w:rPr>
                <w:rFonts w:ascii="標楷體" w:eastAsia="標楷體" w:hAnsi="標楷體" w:hint="eastAsia"/>
                <w:sz w:val="28"/>
                <w:szCs w:val="28"/>
              </w:rPr>
              <w:t>瞭解甚麼是導盲犬</w:t>
            </w:r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：導盲犬外觀跟一般</w:t>
            </w:r>
            <w:proofErr w:type="gramStart"/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的狗並無不</w:t>
            </w:r>
            <w:proofErr w:type="gramEnd"/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同，但</w:t>
            </w:r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可以從</w:t>
            </w:r>
            <w:proofErr w:type="gramStart"/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牠</w:t>
            </w:r>
            <w:proofErr w:type="gramEnd"/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配掛的牌子、導盲背心、導</w:t>
            </w:r>
            <w:proofErr w:type="gramStart"/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盲鞍來</w:t>
            </w:r>
            <w:proofErr w:type="gramEnd"/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分辨。</w:t>
            </w:r>
          </w:p>
          <w:p w:rsidR="00B31B5C" w:rsidRPr="00A82AC4" w:rsidRDefault="00B31B5C" w:rsidP="00A82AC4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412FA">
              <w:rPr>
                <w:rFonts w:ascii="標楷體" w:eastAsia="標楷體" w:hAnsi="標楷體" w:hint="eastAsia"/>
                <w:sz w:val="28"/>
                <w:szCs w:val="28"/>
              </w:rPr>
              <w:t>習得四不一問的定義</w:t>
            </w:r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 xml:space="preserve">: </w:t>
            </w:r>
            <w:proofErr w:type="gramStart"/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End"/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餵食</w:t>
            </w:r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避免導盲犬接觸人類的食物之後，容易受食物影響分心，而使主人有危險</w:t>
            </w:r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)、</w:t>
            </w:r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不撫摸</w:t>
            </w:r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proofErr w:type="gramStart"/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當導盲</w:t>
            </w:r>
            <w:proofErr w:type="gramEnd"/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犬在工作的時候，</w:t>
            </w:r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不可以跟</w:t>
            </w:r>
            <w:proofErr w:type="gramStart"/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牠</w:t>
            </w:r>
            <w:proofErr w:type="gramEnd"/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玩或撫摸</w:t>
            </w:r>
            <w:proofErr w:type="gramStart"/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牠</w:t>
            </w:r>
            <w:proofErr w:type="gramEnd"/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，否則</w:t>
            </w:r>
            <w:proofErr w:type="gramStart"/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會使導盲</w:t>
            </w:r>
            <w:proofErr w:type="gramEnd"/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犬分心</w:t>
            </w:r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)、</w:t>
            </w:r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不呼叫</w:t>
            </w:r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勿故意發出任何聲音吸引導盲犬注意，避免導盲犬</w:t>
            </w:r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分心，造成視障者的危險</w:t>
            </w:r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)、</w:t>
            </w:r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不拒絕</w:t>
            </w:r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導盲犬是視障者的眼睛，拒絕導盲犬陪同進入會造成極大的不便。</w:t>
            </w:r>
            <w:proofErr w:type="gramStart"/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)、</w:t>
            </w:r>
            <w:proofErr w:type="gramEnd"/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主動詢問</w:t>
            </w:r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若遇到視障者帶著導盲犬，無論是否有人陪同，請主動詢問提供適時協助</w:t>
            </w:r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)。</w:t>
            </w:r>
          </w:p>
          <w:p w:rsidR="00A82AC4" w:rsidRDefault="00A82AC4" w:rsidP="00A82AC4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瞭解導盲犬的培育</w:t>
            </w:r>
            <w:r w:rsidR="00B31B5C" w:rsidRPr="00B31B5C">
              <w:rPr>
                <w:rFonts w:ascii="標楷體" w:eastAsia="標楷體" w:hAnsi="標楷體" w:hint="eastAsia"/>
                <w:sz w:val="28"/>
                <w:szCs w:val="28"/>
              </w:rPr>
              <w:t>過程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: </w:t>
            </w:r>
          </w:p>
          <w:p w:rsidR="00A82AC4" w:rsidRPr="00A82AC4" w:rsidRDefault="00A82AC4" w:rsidP="00A82AC4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82AC4">
              <w:rPr>
                <w:rFonts w:ascii="標楷體" w:eastAsia="標楷體" w:hAnsi="標楷體" w:hint="eastAsia"/>
                <w:bCs/>
                <w:sz w:val="28"/>
                <w:szCs w:val="28"/>
              </w:rPr>
              <w:t>初生時期（0-2個月大）：大多數在導盲犬學校出生，具有優良血統的幼犬。</w:t>
            </w:r>
          </w:p>
          <w:p w:rsidR="00A82AC4" w:rsidRPr="00A82AC4" w:rsidRDefault="00A82AC4" w:rsidP="00A82AC4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82AC4">
              <w:rPr>
                <w:rFonts w:ascii="標楷體" w:eastAsia="標楷體" w:hAnsi="標楷體" w:hint="eastAsia"/>
                <w:bCs/>
                <w:sz w:val="28"/>
                <w:szCs w:val="28"/>
              </w:rPr>
              <w:t>寄養家庭生活時期（2個月至一歲左右）：學習社會生活（定點大小便、到餐廳需安靜趴在座位上等）與適應各種環境。</w:t>
            </w:r>
          </w:p>
          <w:p w:rsidR="00A82AC4" w:rsidRPr="00A82AC4" w:rsidRDefault="00A82AC4" w:rsidP="00A82AC4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82AC4">
              <w:rPr>
                <w:rFonts w:ascii="標楷體" w:eastAsia="標楷體" w:hAnsi="標楷體" w:hint="eastAsia"/>
                <w:bCs/>
                <w:sz w:val="28"/>
                <w:szCs w:val="28"/>
              </w:rPr>
              <w:t>訓練中心訓練時期（一歲至二歲）：訓練師開始工作訓練，約6至10個月。</w:t>
            </w:r>
          </w:p>
          <w:p w:rsidR="00A82AC4" w:rsidRPr="00A82AC4" w:rsidRDefault="00A82AC4" w:rsidP="00A82AC4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82AC4">
              <w:rPr>
                <w:rFonts w:ascii="標楷體" w:eastAsia="標楷體" w:hAnsi="標楷體" w:hint="eastAsia"/>
                <w:bCs/>
                <w:sz w:val="28"/>
                <w:szCs w:val="28"/>
              </w:rPr>
              <w:t>共同訓練時期（二歲至二歲半）：與盲胞配對，開始接受共同訓練1至2個月，適應良好，舉行畢業典禮。</w:t>
            </w:r>
          </w:p>
          <w:p w:rsidR="00A82AC4" w:rsidRPr="00A82AC4" w:rsidRDefault="00A82AC4" w:rsidP="00A82AC4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82AC4">
              <w:rPr>
                <w:rFonts w:ascii="標楷體" w:eastAsia="標楷體" w:hAnsi="標楷體" w:hint="eastAsia"/>
                <w:bCs/>
                <w:sz w:val="28"/>
                <w:szCs w:val="28"/>
              </w:rPr>
              <w:t>正式工作時期（二歲半至九歲或十至十二歲）開始執行工作，並長期追蹤輔導。</w:t>
            </w:r>
          </w:p>
          <w:p w:rsidR="00B31B5C" w:rsidRPr="00A82AC4" w:rsidRDefault="00A82AC4" w:rsidP="00A82AC4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82AC4">
              <w:rPr>
                <w:rFonts w:ascii="標楷體" w:eastAsia="標楷體" w:hAnsi="標楷體" w:hint="eastAsia"/>
                <w:bCs/>
                <w:sz w:val="28"/>
                <w:szCs w:val="28"/>
              </w:rPr>
              <w:t>退休生活時期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proofErr w:type="gramStart"/>
            <w:r w:rsidRPr="00A82AC4">
              <w:rPr>
                <w:rFonts w:ascii="標楷體" w:eastAsia="標楷體" w:hAnsi="標楷體" w:hint="eastAsia"/>
                <w:bCs/>
                <w:sz w:val="28"/>
                <w:szCs w:val="28"/>
              </w:rPr>
              <w:t>退休年齡視犬隻</w:t>
            </w:r>
            <w:proofErr w:type="gramEnd"/>
            <w:r w:rsidRPr="00A82AC4">
              <w:rPr>
                <w:rFonts w:ascii="標楷體" w:eastAsia="標楷體" w:hAnsi="標楷體" w:hint="eastAsia"/>
                <w:bCs/>
                <w:sz w:val="28"/>
                <w:szCs w:val="28"/>
              </w:rPr>
              <w:t>的健康情況而定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B31B5C" w:rsidRPr="007412FA" w:rsidRDefault="00B31B5C" w:rsidP="007412FA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31B5C">
              <w:rPr>
                <w:rFonts w:ascii="標楷體" w:eastAsia="標楷體" w:hAnsi="標楷體" w:hint="eastAsia"/>
                <w:sz w:val="28"/>
                <w:szCs w:val="28"/>
              </w:rPr>
              <w:t>知道導盲犬平常是怎樣幫助視障人士</w:t>
            </w:r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 xml:space="preserve">: </w:t>
            </w:r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導盲犬訓練項目中，包括只要掛上牌子、</w:t>
            </w:r>
            <w:proofErr w:type="gramStart"/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穿導盲</w:t>
            </w:r>
            <w:proofErr w:type="gramEnd"/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背心</w:t>
            </w:r>
            <w:proofErr w:type="gramStart"/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或導盲鞍</w:t>
            </w:r>
            <w:proofErr w:type="gramEnd"/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，就知道是在執行任務，只會依從主人的指令</w:t>
            </w:r>
            <w:r w:rsidR="007412FA" w:rsidRPr="00B31B5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412FA" w:rsidRPr="00832A0E" w:rsidRDefault="00B31B5C" w:rsidP="007412FA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B31B5C">
              <w:rPr>
                <w:rFonts w:ascii="標楷體" w:eastAsia="標楷體" w:hAnsi="標楷體" w:hint="eastAsia"/>
                <w:sz w:val="28"/>
                <w:szCs w:val="28"/>
              </w:rPr>
              <w:t>瞭解導我國法律對導盲犬是有保障的</w:t>
            </w:r>
            <w:r w:rsidR="007412F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t>身心障礙者保護法修訂導盲犬可自由進出大眾運輸及公共場所，不得拒絕導盲犬進入或</w:t>
            </w:r>
            <w:r w:rsidR="007412FA" w:rsidRPr="007412F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提出其他附帶條件，違者將會罰款</w:t>
            </w:r>
            <w:r w:rsidR="00832A0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B31B5C" w:rsidRPr="00B31B5C" w:rsidRDefault="00B31B5C" w:rsidP="00B31B5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31B5C">
              <w:rPr>
                <w:rFonts w:ascii="標楷體" w:eastAsia="標楷體" w:hAnsi="標楷體" w:hint="eastAsia"/>
                <w:sz w:val="28"/>
                <w:szCs w:val="28"/>
              </w:rPr>
              <w:t>二.活動檢討及建議事項:</w:t>
            </w:r>
          </w:p>
          <w:p w:rsidR="00B31B5C" w:rsidRPr="00B31B5C" w:rsidRDefault="00B31B5C" w:rsidP="00B31B5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31B5C">
              <w:rPr>
                <w:rFonts w:ascii="標楷體" w:eastAsia="標楷體" w:hAnsi="標楷體" w:hint="eastAsia"/>
                <w:sz w:val="28"/>
                <w:szCs w:val="28"/>
              </w:rPr>
              <w:t>可以舉辦小遊戲，讓同學了解視障者平常的不便之處</w:t>
            </w:r>
          </w:p>
          <w:p w:rsidR="00832A0E" w:rsidRDefault="00832A0E"/>
          <w:p w:rsidR="00F46348" w:rsidRDefault="00F46348">
            <w:pPr>
              <w:rPr>
                <w:rFonts w:hint="eastAsia"/>
              </w:rPr>
            </w:pPr>
          </w:p>
          <w:p w:rsidR="00F54D38" w:rsidRDefault="00F54D38">
            <w:pPr>
              <w:rPr>
                <w:rFonts w:hint="eastAsia"/>
              </w:rPr>
            </w:pPr>
          </w:p>
          <w:p w:rsidR="00F54D38" w:rsidRDefault="00F54D38">
            <w:pPr>
              <w:rPr>
                <w:rFonts w:hint="eastAsia"/>
              </w:rPr>
            </w:pPr>
          </w:p>
          <w:p w:rsidR="00F54D38" w:rsidRDefault="00F54D38">
            <w:pPr>
              <w:rPr>
                <w:rFonts w:hint="eastAsia"/>
              </w:rPr>
            </w:pPr>
          </w:p>
          <w:p w:rsidR="00F54D38" w:rsidRDefault="00F54D38">
            <w:pPr>
              <w:rPr>
                <w:rFonts w:hint="eastAsia"/>
              </w:rPr>
            </w:pPr>
          </w:p>
          <w:p w:rsidR="00F54D38" w:rsidRDefault="00F54D38">
            <w:pPr>
              <w:rPr>
                <w:rFonts w:hint="eastAsia"/>
              </w:rPr>
            </w:pPr>
          </w:p>
          <w:p w:rsidR="00F54D38" w:rsidRDefault="00F54D38">
            <w:pPr>
              <w:rPr>
                <w:rFonts w:hint="eastAsia"/>
              </w:rPr>
            </w:pPr>
          </w:p>
          <w:p w:rsidR="00F54D38" w:rsidRDefault="00F54D38">
            <w:pPr>
              <w:rPr>
                <w:rFonts w:hint="eastAsia"/>
              </w:rPr>
            </w:pPr>
          </w:p>
          <w:p w:rsidR="00F54D38" w:rsidRDefault="00F54D38">
            <w:pPr>
              <w:rPr>
                <w:rFonts w:hint="eastAsia"/>
              </w:rPr>
            </w:pPr>
          </w:p>
          <w:p w:rsidR="00F54D38" w:rsidRDefault="00F54D38">
            <w:pPr>
              <w:rPr>
                <w:rFonts w:hint="eastAsia"/>
              </w:rPr>
            </w:pPr>
          </w:p>
          <w:p w:rsidR="00F54D38" w:rsidRDefault="00F54D38">
            <w:pPr>
              <w:rPr>
                <w:rFonts w:hint="eastAsia"/>
              </w:rPr>
            </w:pPr>
          </w:p>
          <w:p w:rsidR="00F54D38" w:rsidRDefault="00F54D38">
            <w:pPr>
              <w:rPr>
                <w:rFonts w:hint="eastAsia"/>
              </w:rPr>
            </w:pPr>
          </w:p>
          <w:p w:rsidR="00F54D38" w:rsidRDefault="00F54D38"/>
        </w:tc>
      </w:tr>
      <w:tr w:rsidR="00F46348" w:rsidTr="00F46348">
        <w:trPr>
          <w:trHeight w:val="2723"/>
        </w:trPr>
        <w:tc>
          <w:tcPr>
            <w:tcW w:w="4181" w:type="dxa"/>
            <w:gridSpan w:val="3"/>
          </w:tcPr>
          <w:p w:rsidR="00E05806" w:rsidRPr="00F46348" w:rsidRDefault="00A1605A" w:rsidP="006636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lastRenderedPageBreak/>
              <w:drawing>
                <wp:inline distT="0" distB="0" distL="0" distR="0">
                  <wp:extent cx="2197100" cy="1644650"/>
                  <wp:effectExtent l="19050" t="0" r="0" b="0"/>
                  <wp:docPr id="3" name="圖片 6" descr="DSCF0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SCF07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164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  <w:gridSpan w:val="3"/>
          </w:tcPr>
          <w:p w:rsidR="00F46348" w:rsidRPr="00F46348" w:rsidRDefault="00A1605A" w:rsidP="00F54D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308860" cy="1736725"/>
                  <wp:effectExtent l="19050" t="0" r="0" b="0"/>
                  <wp:docPr id="4" name="圖片 9" descr="DSCF0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SCF07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860" cy="173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6348" w:rsidTr="00F46348">
        <w:trPr>
          <w:trHeight w:val="2506"/>
        </w:trPr>
        <w:tc>
          <w:tcPr>
            <w:tcW w:w="4181" w:type="dxa"/>
            <w:gridSpan w:val="3"/>
          </w:tcPr>
          <w:p w:rsidR="00E05806" w:rsidRPr="00F46348" w:rsidRDefault="00A1605A" w:rsidP="006636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210435" cy="1657985"/>
                  <wp:effectExtent l="19050" t="0" r="0" b="0"/>
                  <wp:docPr id="2" name="圖片 12" descr="DSCF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SCF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435" cy="165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  <w:gridSpan w:val="3"/>
          </w:tcPr>
          <w:p w:rsidR="00F46348" w:rsidRPr="00F46348" w:rsidRDefault="00A1605A" w:rsidP="00A160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177415" cy="1638300"/>
                  <wp:effectExtent l="19050" t="0" r="0" b="0"/>
                  <wp:docPr id="15" name="圖片 15" descr="DSCF0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SCF0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41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806" w:rsidTr="00E05806">
        <w:trPr>
          <w:trHeight w:val="328"/>
        </w:trPr>
        <w:tc>
          <w:tcPr>
            <w:tcW w:w="2093" w:type="dxa"/>
            <w:gridSpan w:val="2"/>
          </w:tcPr>
          <w:p w:rsidR="00E05806" w:rsidRPr="00F46348" w:rsidRDefault="00E05806" w:rsidP="006636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088" w:type="dxa"/>
          </w:tcPr>
          <w:p w:rsidR="00E05806" w:rsidRPr="00F46348" w:rsidRDefault="00E05806" w:rsidP="006636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特教組長</w:t>
            </w:r>
          </w:p>
        </w:tc>
        <w:tc>
          <w:tcPr>
            <w:tcW w:w="2023" w:type="dxa"/>
            <w:gridSpan w:val="2"/>
          </w:tcPr>
          <w:p w:rsidR="00E05806" w:rsidRPr="00F46348" w:rsidRDefault="00E05806" w:rsidP="006636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2158" w:type="dxa"/>
          </w:tcPr>
          <w:p w:rsidR="00E05806" w:rsidRPr="00F46348" w:rsidRDefault="00E05806" w:rsidP="006636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</w:tr>
      <w:tr w:rsidR="00E05806" w:rsidTr="00E05806">
        <w:trPr>
          <w:trHeight w:val="611"/>
        </w:trPr>
        <w:tc>
          <w:tcPr>
            <w:tcW w:w="2093" w:type="dxa"/>
            <w:gridSpan w:val="2"/>
          </w:tcPr>
          <w:p w:rsidR="00E05806" w:rsidRPr="00F46348" w:rsidRDefault="00E05806" w:rsidP="0066366C">
            <w:pPr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</w:tcPr>
          <w:p w:rsidR="00E05806" w:rsidRPr="00F46348" w:rsidRDefault="00E05806" w:rsidP="0066366C">
            <w:pPr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gridSpan w:val="2"/>
          </w:tcPr>
          <w:p w:rsidR="00E05806" w:rsidRPr="00F46348" w:rsidRDefault="00E05806" w:rsidP="0066366C">
            <w:pPr>
              <w:rPr>
                <w:rFonts w:ascii="標楷體" w:eastAsia="標楷體" w:hAnsi="標楷體"/>
              </w:rPr>
            </w:pPr>
          </w:p>
        </w:tc>
        <w:tc>
          <w:tcPr>
            <w:tcW w:w="2158" w:type="dxa"/>
          </w:tcPr>
          <w:p w:rsidR="00E05806" w:rsidRPr="00F46348" w:rsidRDefault="00E05806" w:rsidP="0066366C">
            <w:pPr>
              <w:rPr>
                <w:rFonts w:ascii="標楷體" w:eastAsia="標楷體" w:hAnsi="標楷體"/>
              </w:rPr>
            </w:pPr>
          </w:p>
        </w:tc>
      </w:tr>
    </w:tbl>
    <w:p w:rsidR="00E05806" w:rsidRDefault="00E05806"/>
    <w:sectPr w:rsidR="00E05806" w:rsidSect="00F46348">
      <w:pgSz w:w="11906" w:h="16838"/>
      <w:pgMar w:top="1440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702" w:rsidRDefault="009E2702" w:rsidP="007D07CE">
      <w:r>
        <w:separator/>
      </w:r>
    </w:p>
  </w:endnote>
  <w:endnote w:type="continuationSeparator" w:id="0">
    <w:p w:rsidR="009E2702" w:rsidRDefault="009E2702" w:rsidP="007D0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702" w:rsidRDefault="009E2702" w:rsidP="007D07CE">
      <w:r>
        <w:separator/>
      </w:r>
    </w:p>
  </w:footnote>
  <w:footnote w:type="continuationSeparator" w:id="0">
    <w:p w:rsidR="009E2702" w:rsidRDefault="009E2702" w:rsidP="007D07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658A"/>
    <w:multiLevelType w:val="hybridMultilevel"/>
    <w:tmpl w:val="FF340D5E"/>
    <w:lvl w:ilvl="0" w:tplc="CEC4EE92">
      <w:start w:val="1"/>
      <w:numFmt w:val="bullet"/>
      <w:lvlText w:val=""/>
      <w:lvlJc w:val="left"/>
      <w:pPr>
        <w:ind w:left="72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1EB41D87"/>
    <w:multiLevelType w:val="hybridMultilevel"/>
    <w:tmpl w:val="241E070E"/>
    <w:lvl w:ilvl="0" w:tplc="6C429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0EA5A7D"/>
    <w:multiLevelType w:val="hybridMultilevel"/>
    <w:tmpl w:val="13DC21AA"/>
    <w:lvl w:ilvl="0" w:tplc="C624FC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1A35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98E8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CA0A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C026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E855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DC7D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4414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F078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DEF5E39"/>
    <w:multiLevelType w:val="hybridMultilevel"/>
    <w:tmpl w:val="132E42D0"/>
    <w:lvl w:ilvl="0" w:tplc="A80C73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4CC7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40F0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CC1A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0001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8A69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5E99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E415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9272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6305DAD"/>
    <w:multiLevelType w:val="hybridMultilevel"/>
    <w:tmpl w:val="EF760C5A"/>
    <w:lvl w:ilvl="0" w:tplc="1FB0FF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E28F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96B7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D2C0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0C4B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6819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6C34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60A2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97026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16E"/>
    <w:rsid w:val="002043A4"/>
    <w:rsid w:val="003D1E71"/>
    <w:rsid w:val="00425BE0"/>
    <w:rsid w:val="00440894"/>
    <w:rsid w:val="004826C7"/>
    <w:rsid w:val="004C0D0A"/>
    <w:rsid w:val="005D14F6"/>
    <w:rsid w:val="006638DE"/>
    <w:rsid w:val="007412FA"/>
    <w:rsid w:val="007D07CE"/>
    <w:rsid w:val="00832A0E"/>
    <w:rsid w:val="008C5F98"/>
    <w:rsid w:val="00924C52"/>
    <w:rsid w:val="009E2702"/>
    <w:rsid w:val="00A1605A"/>
    <w:rsid w:val="00A82AC4"/>
    <w:rsid w:val="00B31B5C"/>
    <w:rsid w:val="00B4100B"/>
    <w:rsid w:val="00BB58ED"/>
    <w:rsid w:val="00C849E8"/>
    <w:rsid w:val="00CB016E"/>
    <w:rsid w:val="00DF38A3"/>
    <w:rsid w:val="00E05806"/>
    <w:rsid w:val="00E3244F"/>
    <w:rsid w:val="00F46348"/>
    <w:rsid w:val="00F54D38"/>
    <w:rsid w:val="00F9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F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D07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D07C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D07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D07CE"/>
    <w:rPr>
      <w:sz w:val="20"/>
      <w:szCs w:val="20"/>
    </w:rPr>
  </w:style>
  <w:style w:type="paragraph" w:styleId="a8">
    <w:name w:val="List Paragraph"/>
    <w:basedOn w:val="a"/>
    <w:uiPriority w:val="34"/>
    <w:qFormat/>
    <w:rsid w:val="007412FA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82AC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54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4D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56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6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96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68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7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7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691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155</Words>
  <Characters>886</Characters>
  <Application>Microsoft Office Word</Application>
  <DocSecurity>0</DocSecurity>
  <Lines>7</Lines>
  <Paragraphs>2</Paragraphs>
  <ScaleCrop>false</ScaleCrop>
  <Company>臺北市政府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nanhua</cp:lastModifiedBy>
  <cp:revision>6</cp:revision>
  <cp:lastPrinted>2012-05-21T01:14:00Z</cp:lastPrinted>
  <dcterms:created xsi:type="dcterms:W3CDTF">2012-05-25T06:36:00Z</dcterms:created>
  <dcterms:modified xsi:type="dcterms:W3CDTF">2012-05-25T10:04:00Z</dcterms:modified>
</cp:coreProperties>
</file>